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8"/>
        <w:gridCol w:w="1800"/>
        <w:gridCol w:w="706"/>
        <w:gridCol w:w="194"/>
        <w:gridCol w:w="694"/>
        <w:gridCol w:w="566"/>
        <w:gridCol w:w="816"/>
        <w:gridCol w:w="18"/>
        <w:gridCol w:w="786"/>
        <w:gridCol w:w="194"/>
        <w:gridCol w:w="526"/>
        <w:gridCol w:w="636"/>
        <w:gridCol w:w="84"/>
        <w:gridCol w:w="996"/>
      </w:tblGrid>
      <w:tr w:rsidR="00AF33B6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2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dobiti</w:t>
            </w:r>
          </w:p>
        </w:tc>
      </w:tr>
      <w:tr w:rsidR="00AF33B6" w:rsidRPr="00D0566D" w:rsidTr="00AF33B6">
        <w:trPr>
          <w:trHeight w:val="446"/>
        </w:trPr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322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AD6E6C" w:rsidRPr="00F44412" w:rsidTr="00CE758A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Default="00AD6E6C" w:rsidP="00AD6E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 xml:space="preserve">Doc. Dr. sc. Paško </w:t>
            </w:r>
            <w:proofErr w:type="spellStart"/>
            <w:r w:rsidRPr="00D46292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  <w:p w:rsidR="00D46292" w:rsidRDefault="00D46292" w:rsidP="00AD6E6C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9327C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Dr.sc. Ante </w:t>
            </w:r>
            <w:proofErr w:type="spellStart"/>
            <w:r w:rsidRPr="009327C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</w:p>
          <w:p w:rsidR="003561DE" w:rsidRPr="003561DE" w:rsidRDefault="003561DE" w:rsidP="00AD6E6C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Nikša Nikolić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F44412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D6E6C" w:rsidRPr="00D0566D" w:rsidTr="00CE758A">
        <w:trPr>
          <w:trHeight w:val="345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D46292" w:rsidRDefault="00AD6E6C" w:rsidP="00AD6E6C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Ante </w:t>
            </w:r>
            <w:proofErr w:type="spellStart"/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mag</w:t>
            </w:r>
            <w:proofErr w:type="spellEnd"/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. Oec.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6E6C" w:rsidRPr="00D0566D" w:rsidRDefault="00AD6E6C" w:rsidP="00AD6E6C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F33B6" w:rsidRPr="00D0566D" w:rsidTr="00AF33B6">
        <w:trPr>
          <w:trHeight w:val="345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D46292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46292" w:rsidRPr="00D46292">
              <w:rPr>
                <w:rFonts w:ascii="Times New Roman" w:hAnsi="Times New Roman" w:cs="Arial"/>
                <w:color w:val="FF0000"/>
                <w:sz w:val="20"/>
                <w:szCs w:val="20"/>
              </w:rPr>
              <w:t>26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2E5E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D46292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46292" w:rsidRPr="00D46292">
              <w:rPr>
                <w:rFonts w:ascii="Times New Roman" w:hAnsi="Times New Roman" w:cs="Arial"/>
                <w:color w:val="FF0000"/>
                <w:sz w:val="20"/>
                <w:szCs w:val="20"/>
              </w:rPr>
              <w:t>26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F33B6" w:rsidRPr="00D0566D" w:rsidTr="00AF33B6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AD6E6C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D6E6C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AD6E6C" w:rsidRDefault="00BF5AAB" w:rsidP="00BF5AA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15%</w:t>
            </w:r>
            <w:r w:rsidR="00D46292" w:rsidRPr="00D46292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30%</w:t>
            </w:r>
          </w:p>
        </w:tc>
      </w:tr>
      <w:tr w:rsidR="00AF33B6" w:rsidRPr="00D0566D" w:rsidTr="002F2292">
        <w:tc>
          <w:tcPr>
            <w:tcW w:w="992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sz w:val="20"/>
                <w:szCs w:val="20"/>
              </w:rPr>
              <w:t>Povezivanje financijske teorije, zakonskih određenja  i prakse u sustavu oporezivanja dobiti</w:t>
            </w: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znanja iz područja financija, računovodstva i analize financijskih izvještaja.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:rsidR="00AF33B6" w:rsidRPr="00D0566D" w:rsidRDefault="00AF33B6" w:rsidP="00B76E99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Prezentirati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sustav poreza na dobit, razloge i teorije njegova nastanka i uvođenja u porezne sustave država i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usporediti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stanje i trendove u oporezivanju dobiti u Hrvatskoj sa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EU i zemljama regije.</w:t>
            </w:r>
          </w:p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AF33B6" w:rsidRPr="00D0566D" w:rsidRDefault="00AF33B6" w:rsidP="00AF33B6">
            <w:pPr>
              <w:pStyle w:val="Odlomakpopisa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46292">
              <w:rPr>
                <w:rFonts w:ascii="Times New Roman" w:hAnsi="Times New Roman" w:cs="Arial"/>
                <w:sz w:val="20"/>
                <w:szCs w:val="20"/>
              </w:rPr>
              <w:t>Pr</w:t>
            </w:r>
            <w:r w:rsidR="00B76E99" w:rsidRPr="00D46292">
              <w:rPr>
                <w:rFonts w:ascii="Times New Roman" w:hAnsi="Times New Roman" w:cs="Arial"/>
                <w:sz w:val="20"/>
                <w:szCs w:val="20"/>
              </w:rPr>
              <w:t xml:space="preserve">ezentirati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obilježja hrvatskog sustava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Otkriti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čimbenike povećanja i smanjenja porezne osnovice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Procijeniti korištenje poreznih gubitaka poslovnih subjekata: u redovnom poslovanju statusnim promjenama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Sastaviti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porezn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izvješć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 poreza na dobit.</w:t>
            </w:r>
          </w:p>
          <w:p w:rsidR="00AF33B6" w:rsidRPr="00D0566D" w:rsidRDefault="00AF33B6" w:rsidP="00B76E99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Povezati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znanja iz oporezivanja dobiti  s mogućim utjecajem na investicije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2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540"/>
              <w:gridCol w:w="3307"/>
              <w:gridCol w:w="455"/>
            </w:tblGrid>
            <w:tr w:rsidR="00AF33B6" w:rsidRPr="00D0566D" w:rsidTr="002F2292">
              <w:trPr>
                <w:jc w:val="center"/>
              </w:trPr>
              <w:tc>
                <w:tcPr>
                  <w:tcW w:w="44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F33B6" w:rsidRPr="00D0566D" w:rsidTr="002F2292">
              <w:trPr>
                <w:cantSplit/>
                <w:trHeight w:val="290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F33B6" w:rsidRPr="00D0566D" w:rsidTr="002F2292">
              <w:trPr>
                <w:cantSplit/>
                <w:trHeight w:val="306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1.Povijesni razvoj poreza na dobit, Teorije opravdanja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Čimbenici utjecaja na porezni sustav i sustav PD-a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2.Sustavi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Distorzije i oporezivanje dobiti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3.Hrvatski sustav poreza na dobit//retrospektiva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Sustavi poreza na dobit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4.Zakonski okvir sustava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Zakonski okvir hrvatskog sustava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5.Temeljne kategorije sustava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obveznik, prihodi, rashodi, ulaganja člana društva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6.Povećanja dobiti/smanjenje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Povećanja dobiti, smanjenje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420FC7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Smanjenja dobiti/povećanja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Smanjenja dobiti, povećanja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8. .Porezni gubici i statusne promjene, porez po odbitku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Državne potpore u obrazovanju i znanstveno istraživački projekti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9. Olakšice, oslob</w:t>
                  </w:r>
                  <w:bookmarkStart w:id="0" w:name="_GoBack"/>
                  <w:bookmarkEnd w:id="0"/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ođenja i poticaji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Statusne promjene, Porezni gubici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10. Zakonska određenja utvrđenja osnovice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Olakšice, oslobođenja i poticaji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Mjerodavnost poslovnih knjiga i financijska izvješća, porezna evidencija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Utvrđivanje porezne osnovice </w:t>
                  </w: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(1)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12.Kaznene odredbe i njihove implikacije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 xml:space="preserve">Utvrđivanje porezne osnovice/ (2)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46292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</w:pPr>
                  <w:r w:rsidRPr="00D46292">
                    <w:rPr>
                      <w:rFonts w:ascii="Times New Roman" w:hAnsi="Times New Roman"/>
                      <w:strike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11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Oporezivanje dobiti u EU; stanje i trendovi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Promjena metodologije porezne osnovice /poreznog sustava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. Usporedna analiza poreza na dobit i poreza na dohodak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Sastavljanje poreznog izvješća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D46292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. Porez na dobit i investicije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praznici i investicijske olakšice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33B6" w:rsidRPr="00D0566D" w:rsidRDefault="00AF33B6" w:rsidP="002F229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33B6" w:rsidRPr="00D0566D" w:rsidTr="002F2292">
        <w:trPr>
          <w:trHeight w:val="349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46292" w:rsidRDefault="00D46292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u w:val="single"/>
                <w:lang w:val="hr-HR"/>
              </w:rPr>
            </w:pPr>
            <w:r w:rsidRPr="00D46292">
              <w:rPr>
                <w:rFonts w:eastAsia="Arial Unicode MS" w:hAnsi="Arial Unicode MS" w:cs="Arial Unicode MS"/>
                <w:b w:val="0"/>
                <w:color w:val="FF0000"/>
                <w:sz w:val="20"/>
                <w:szCs w:val="20"/>
                <w:u w:val="single"/>
                <w:lang w:val="hr-HR"/>
              </w:rPr>
              <w:t>X</w:t>
            </w:r>
            <w:r w:rsidR="00AF33B6" w:rsidRPr="00D46292">
              <w:rPr>
                <w:rFonts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AF33B6" w:rsidRPr="003B5B23" w:rsidRDefault="003B5B23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3B5B23">
              <w:rPr>
                <w:rFonts w:eastAsia="Arial Unicode MS" w:hAnsi="Arial Unicode MS" w:cs="Arial Unicode MS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AF33B6"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AF33B6" w:rsidRPr="003B5B23">
              <w:rPr>
                <w:rFonts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>seminari</w:t>
            </w:r>
            <w:r w:rsidR="00AF33B6"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i radionice  </w:t>
            </w:r>
          </w:p>
          <w:p w:rsidR="00AF33B6" w:rsidRPr="00D46292" w:rsidRDefault="00D46292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u w:val="single"/>
                <w:lang w:val="hr-HR"/>
              </w:rPr>
            </w:pPr>
            <w:r w:rsidRPr="00D46292">
              <w:rPr>
                <w:rFonts w:eastAsia="Arial Unicode MS" w:hAnsi="Arial Unicode MS" w:cs="Arial Unicode MS"/>
                <w:b w:val="0"/>
                <w:color w:val="FF0000"/>
                <w:sz w:val="20"/>
                <w:szCs w:val="20"/>
                <w:u w:val="single"/>
                <w:lang w:val="hr-HR"/>
              </w:rPr>
              <w:t>X</w:t>
            </w:r>
            <w:r w:rsidR="00AF33B6" w:rsidRPr="00D46292">
              <w:rPr>
                <w:rFonts w:cs="Arial"/>
                <w:b w:val="0"/>
                <w:color w:val="FF000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F33B6" w:rsidRPr="00D46292" w:rsidRDefault="00D46292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D46292">
              <w:rPr>
                <w:rFonts w:eastAsia="Arial Unicode MS" w:hAnsi="Arial Unicode MS" w:cs="Arial Unicode MS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AF33B6" w:rsidRPr="00D46292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mješovito e-učenje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62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AF33B6" w:rsidRPr="00D46292" w:rsidRDefault="00D46292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D46292">
              <w:rPr>
                <w:rFonts w:eastAsia="Arial Unicode MS" w:hAnsi="Arial Unicode MS" w:cs="Arial Unicode MS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AF33B6" w:rsidRPr="00D46292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multimedija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33B6" w:rsidRPr="00D0566D" w:rsidTr="002F2292">
        <w:trPr>
          <w:trHeight w:val="57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62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3B5B23" w:rsidRDefault="00BF5AAB" w:rsidP="008A5178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B5B2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Uvjet za ostvarenje prava na potpis je redovito pohađanje nastave – za redovne studente: 70% prisustvovanja na predavanjima i vježbama; za izvanredne studente 50% prisustvovanja na predavanjima i vježbama.</w:t>
            </w:r>
          </w:p>
          <w:p w:rsidR="003B5B23" w:rsidRPr="003B5B23" w:rsidRDefault="003B5B23" w:rsidP="003B5B2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B13351">
              <w:rPr>
                <w:rFonts w:ascii="Times New Roman" w:hAnsi="Times New Roman" w:cs="Arial"/>
                <w:color w:val="FF0000"/>
                <w:sz w:val="20"/>
                <w:szCs w:val="20"/>
              </w:rPr>
              <w:t>vježbama</w:t>
            </w:r>
            <w:r w:rsidR="009327C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9327C0" w:rsidRPr="009327C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(ostvariti 50% prisutnosti na nastavi) </w:t>
            </w:r>
            <w:r w:rsidR="009327C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odnosno mora riješiti 2</w:t>
            </w:r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testa u </w:t>
            </w:r>
            <w:proofErr w:type="spellStart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sustavu. Pravo izlaska na kolokvije imaju studenti koji na </w:t>
            </w:r>
            <w:proofErr w:type="spellStart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>samoevaluacijskim</w:t>
            </w:r>
            <w:proofErr w:type="spellEnd"/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testovima ostvare barem 30% uspješnosti.</w:t>
            </w:r>
          </w:p>
          <w:p w:rsidR="003B5B23" w:rsidRPr="00897FA1" w:rsidRDefault="003B5B23" w:rsidP="003B5B2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Uz prisustvovanje na nastavi, studenti su obvezni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samostalno napisati  seminarski rad.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897FA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B5B23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>1</w:t>
            </w:r>
            <w:r w:rsidR="003B5B2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20B8D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3B5B23" w:rsidRDefault="003B5B23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proofErr w:type="spellStart"/>
            <w:r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Samoevaluacijski</w:t>
            </w:r>
            <w:proofErr w:type="spellEnd"/>
            <w:r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3B5B23" w:rsidRDefault="003B5B23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820B8D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3B5B23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>5</w:t>
            </w:r>
            <w:r w:rsidR="003B5B2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B5B23" w:rsidRPr="003B5B23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3B5B23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3B5B23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2,5</w:t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3B5B23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2,5</w:t>
            </w:r>
            <w:r w:rsidR="003B5B23" w:rsidRPr="003B5B23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4</w:t>
            </w:r>
          </w:p>
        </w:tc>
        <w:tc>
          <w:tcPr>
            <w:tcW w:w="12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1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3B5B23" w:rsidRDefault="00BF5AAB" w:rsidP="00BF5AA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B5B2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Tijekom semestra održat će se pisane provjere znanja putem dva kolokvija. Oba kolokvija nose 100% od ukupne ocjene i sastoje se od teorijskih pitanja i numeričkih zadataka. Kolokvij je položen ukoliko je ostvareno 60% ukupnog broja bodova. Studenti koji polože oba kolokvija, položili su ispit. Konačna ocjena formira se kao prosjek postignutih bodova na oba kolokvija. </w:t>
            </w:r>
          </w:p>
          <w:p w:rsidR="003B5B23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B5B23">
              <w:rPr>
                <w:rFonts w:ascii="Arial" w:hAnsi="Arial" w:cs="Arial"/>
                <w:color w:val="FF0000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:rsidR="003B5B23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B5B23" w:rsidRPr="003B5B23" w:rsidRDefault="003B5B23" w:rsidP="003B5B2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B5B23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Kolokviji nose 60% od ukupne ocjene, </w:t>
            </w:r>
            <w:r w:rsidR="004F1835">
              <w:rPr>
                <w:rFonts w:ascii="Arial" w:hAnsi="Arial" w:cs="Arial"/>
                <w:color w:val="FF0000"/>
                <w:sz w:val="20"/>
                <w:szCs w:val="20"/>
              </w:rPr>
              <w:t>seminarski rad nosi</w:t>
            </w:r>
            <w:r w:rsidRPr="003B5B23">
              <w:rPr>
                <w:rFonts w:ascii="Arial" w:hAnsi="Arial" w:cs="Arial"/>
                <w:color w:val="FF0000"/>
                <w:sz w:val="20"/>
                <w:szCs w:val="20"/>
              </w:rPr>
              <w:t xml:space="preserve"> 30%, a aktivno pohađanje nastave i uspješno rješavanje </w:t>
            </w:r>
            <w:proofErr w:type="spellStart"/>
            <w:r w:rsidRPr="003B5B23">
              <w:rPr>
                <w:rFonts w:ascii="Arial" w:hAnsi="Arial" w:cs="Arial"/>
                <w:color w:val="FF0000"/>
                <w:sz w:val="20"/>
                <w:szCs w:val="20"/>
              </w:rPr>
              <w:t>samoevaluacijskih</w:t>
            </w:r>
            <w:proofErr w:type="spellEnd"/>
            <w:r w:rsidRPr="003B5B23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testova 10% od ukupne ocjene.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6292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:rsidR="00BF5AAB" w:rsidRPr="00D4629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AAB" w:rsidRPr="004F1835" w:rsidRDefault="00BF5AAB" w:rsidP="00BF5AAB">
            <w:pPr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4F183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Završni ispit se sastoji od pisanog i usmenog dijela. Usmenom dijelu može pristupiti student koji je ostvario minimalno 60% bodova na pisanom dijelu ispita. Konačna ocjena se formira na temelju prosjeka pisanog i usmenog dijela</w:t>
            </w:r>
            <w:r w:rsidR="00D46292" w:rsidRPr="004F183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  <w:p w:rsidR="004F1835" w:rsidRDefault="004F1835" w:rsidP="00BF5AA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student:</w:t>
            </w: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-ostvario minimalno 60% od ukupnog broja bodova iz oba kolokvija pojedinačno ili, alternativno, ostvario minimalno 60% od ukupnog broja bodova na završnom pisanom </w:t>
            </w: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ispitu.  </w:t>
            </w: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-ostvario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pozitivno ocijenjen seminarski rad</w:t>
            </w: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>1) ukupno ostvarenih bodova na pisanim provjerama znanja umnožene s ponderom od 0.6,</w:t>
            </w:r>
          </w:p>
          <w:p w:rsidR="004F1835" w:rsidRPr="004F1835" w:rsidRDefault="004F1835" w:rsidP="004F1835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2) ukupno ostvarenih bodova iz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seminarskog rada</w:t>
            </w: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ponderom 0.3, te</w:t>
            </w:r>
          </w:p>
          <w:p w:rsidR="004F1835" w:rsidRPr="00B76E99" w:rsidRDefault="004F1835" w:rsidP="004F1835">
            <w:pPr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3) aktivno pohađanje nastave i uspješno rješavanje </w:t>
            </w:r>
            <w:proofErr w:type="spellStart"/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>samoevaluacijskih</w:t>
            </w:r>
            <w:proofErr w:type="spellEnd"/>
            <w:r w:rsidRPr="004F1835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testova umnoženih s ponderom 0.1.</w:t>
            </w:r>
          </w:p>
        </w:tc>
      </w:tr>
      <w:tr w:rsidR="00BF5AAB" w:rsidRPr="00D0566D" w:rsidTr="002F2292"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9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24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4F1835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Letnić</w:t>
            </w:r>
            <w:proofErr w:type="spellEnd"/>
            <w:r w:rsidRPr="004F1835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, R.,</w:t>
            </w:r>
            <w:r w:rsidRPr="004F183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F1835" w:rsidRPr="004F1835">
              <w:rPr>
                <w:rFonts w:ascii="Times New Roman" w:hAnsi="Times New Roman" w:cs="Arial"/>
                <w:color w:val="FF0000"/>
                <w:sz w:val="20"/>
                <w:szCs w:val="20"/>
              </w:rPr>
              <w:t>Burnać</w:t>
            </w:r>
            <w:proofErr w:type="spellEnd"/>
            <w:r w:rsidR="004F1835" w:rsidRPr="004F183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, P.: </w:t>
            </w:r>
            <w:r w:rsidRPr="00D46292">
              <w:rPr>
                <w:rFonts w:ascii="Times New Roman" w:hAnsi="Times New Roman" w:cs="Arial"/>
                <w:sz w:val="20"/>
                <w:szCs w:val="20"/>
              </w:rPr>
              <w:t>Nastavni materijali s predavanja i vježbi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D462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Blažić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H.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Usporedni sustavi, oporezivanje dohotka i dobiti, Ekonomski fakultet Sveučilišta u Rijeci, 2007.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Bubić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Oporezivanje dobiti, Materijali predavanja, 2013.</w:t>
            </w:r>
          </w:p>
        </w:tc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D462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7FA1" w:rsidRPr="00D46292" w:rsidRDefault="00897FA1" w:rsidP="00897FA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D46292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Jelčić.B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 P.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Bejaković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: Razvoj i perspektive oporezivanja u Hrvatskoj, HAZU, Zagreb,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2012.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Svezak 39</w:t>
            </w:r>
          </w:p>
          <w:p w:rsidR="00BF5AAB" w:rsidRPr="00D0566D" w:rsidRDefault="00BF5AAB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Jelčić,B.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: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Javne financije, RRIF, Zagreb, 2001.</w:t>
            </w:r>
          </w:p>
          <w:p w:rsidR="00BF5AAB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897FA1" w:rsidRPr="00D46292" w:rsidRDefault="00897FA1" w:rsidP="00897FA1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46292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porezu na dobit, NN 95/05 do 61/12,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Pr="00D0566D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Default="00BF5AAB" w:rsidP="00BF5AAB">
            <w:pPr>
              <w:tabs>
                <w:tab w:val="left" w:pos="2820"/>
              </w:tabs>
              <w:spacing w:after="0"/>
              <w:rPr>
                <w:rStyle w:val="Hiperveza"/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Zakon o porezu na dobit, NN 177/04 do 22/12,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8" w:history="1">
              <w:r w:rsidRPr="00D0566D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Pr="00D0566D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97FA1" w:rsidRPr="00897FA1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F5AAB" w:rsidRPr="00D0566D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AF33B6" w:rsidRDefault="00AF33B6"/>
    <w:p w:rsidR="00AF33B6" w:rsidRPr="00AF33B6" w:rsidRDefault="00AF33B6" w:rsidP="00AF33B6"/>
    <w:p w:rsidR="00AF33B6" w:rsidRPr="00AF33B6" w:rsidRDefault="00AF33B6" w:rsidP="00AF33B6"/>
    <w:p w:rsidR="00AF33B6" w:rsidRPr="00AF33B6" w:rsidRDefault="00AF33B6" w:rsidP="00AF33B6"/>
    <w:p w:rsidR="006334CF" w:rsidRPr="00AF33B6" w:rsidRDefault="006334CF" w:rsidP="00AF33B6"/>
    <w:sectPr w:rsidR="006334CF" w:rsidRPr="00AF33B6" w:rsidSect="0016215F">
      <w:footerReference w:type="default" r:id="rId9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956" w:rsidRDefault="00BD7956" w:rsidP="00AF33B6">
      <w:pPr>
        <w:spacing w:after="0" w:line="240" w:lineRule="auto"/>
      </w:pPr>
      <w:r>
        <w:separator/>
      </w:r>
    </w:p>
  </w:endnote>
  <w:endnote w:type="continuationSeparator" w:id="0">
    <w:p w:rsidR="00BD7956" w:rsidRDefault="00BD7956" w:rsidP="00AF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1DE" w:rsidRPr="003561DE" w:rsidRDefault="003561DE" w:rsidP="003561DE">
    <w:pPr>
      <w:tabs>
        <w:tab w:val="left" w:pos="1207"/>
        <w:tab w:val="center" w:pos="4536"/>
        <w:tab w:val="right" w:pos="9072"/>
      </w:tabs>
      <w:spacing w:after="0" w:line="240" w:lineRule="auto"/>
    </w:pPr>
    <w:r w:rsidRPr="003561DE">
      <w:t>2021./2022.</w:t>
    </w:r>
  </w:p>
  <w:p w:rsidR="003561DE" w:rsidRDefault="003561DE" w:rsidP="003561DE">
    <w:pPr>
      <w:tabs>
        <w:tab w:val="left" w:pos="1207"/>
        <w:tab w:val="center" w:pos="4536"/>
        <w:tab w:val="right" w:pos="9072"/>
      </w:tabs>
      <w:spacing w:after="0" w:line="240" w:lineRule="auto"/>
    </w:pPr>
    <w:r w:rsidRPr="003561DE">
      <w:t xml:space="preserve">19/10/21 – 2. </w:t>
    </w:r>
    <w:proofErr w:type="spellStart"/>
    <w:r w:rsidRPr="003561DE">
      <w:t>Sj</w:t>
    </w:r>
    <w:proofErr w:type="spellEnd"/>
    <w:r w:rsidRPr="003561DE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956" w:rsidRDefault="00BD7956" w:rsidP="00AF33B6">
      <w:pPr>
        <w:spacing w:after="0" w:line="240" w:lineRule="auto"/>
      </w:pPr>
      <w:r>
        <w:separator/>
      </w:r>
    </w:p>
  </w:footnote>
  <w:footnote w:type="continuationSeparator" w:id="0">
    <w:p w:rsidR="00BD7956" w:rsidRDefault="00BD7956" w:rsidP="00AF3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7C92"/>
    <w:multiLevelType w:val="hybridMultilevel"/>
    <w:tmpl w:val="473087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D1182"/>
    <w:multiLevelType w:val="hybridMultilevel"/>
    <w:tmpl w:val="A0160900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B1827"/>
    <w:multiLevelType w:val="hybridMultilevel"/>
    <w:tmpl w:val="89FADD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B6"/>
    <w:rsid w:val="00143F24"/>
    <w:rsid w:val="0016215F"/>
    <w:rsid w:val="0019326D"/>
    <w:rsid w:val="00271154"/>
    <w:rsid w:val="00277CA6"/>
    <w:rsid w:val="00295D17"/>
    <w:rsid w:val="002E5EB6"/>
    <w:rsid w:val="0034707C"/>
    <w:rsid w:val="003561DE"/>
    <w:rsid w:val="003B1C2E"/>
    <w:rsid w:val="003B5B23"/>
    <w:rsid w:val="0041782F"/>
    <w:rsid w:val="00420FC7"/>
    <w:rsid w:val="004F1835"/>
    <w:rsid w:val="00521132"/>
    <w:rsid w:val="005858D5"/>
    <w:rsid w:val="006334CF"/>
    <w:rsid w:val="0067771E"/>
    <w:rsid w:val="006A3099"/>
    <w:rsid w:val="007321E1"/>
    <w:rsid w:val="007A4EAF"/>
    <w:rsid w:val="0080700F"/>
    <w:rsid w:val="00820B8D"/>
    <w:rsid w:val="00897FA1"/>
    <w:rsid w:val="0092718D"/>
    <w:rsid w:val="009327C0"/>
    <w:rsid w:val="00996969"/>
    <w:rsid w:val="00AB628B"/>
    <w:rsid w:val="00AD6E6C"/>
    <w:rsid w:val="00AF33B6"/>
    <w:rsid w:val="00B13351"/>
    <w:rsid w:val="00B4194A"/>
    <w:rsid w:val="00B76E99"/>
    <w:rsid w:val="00B91399"/>
    <w:rsid w:val="00BA01C6"/>
    <w:rsid w:val="00BD7956"/>
    <w:rsid w:val="00BF5AAB"/>
    <w:rsid w:val="00C07AD9"/>
    <w:rsid w:val="00D4141F"/>
    <w:rsid w:val="00D46292"/>
    <w:rsid w:val="00E51A6F"/>
    <w:rsid w:val="00EE4BEB"/>
    <w:rsid w:val="00EE679D"/>
    <w:rsid w:val="00F309D0"/>
    <w:rsid w:val="00F44412"/>
    <w:rsid w:val="00F5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3CA7"/>
  <w15:docId w15:val="{2F5BB210-B63C-4075-8631-9C2C57F2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3B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F33B6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AF33B6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AF33B6"/>
    <w:pPr>
      <w:ind w:left="720"/>
      <w:contextualSpacing/>
    </w:pPr>
  </w:style>
  <w:style w:type="character" w:styleId="Hiperveza">
    <w:name w:val="Hyperlink"/>
    <w:basedOn w:val="Zadanifontodlomka"/>
    <w:uiPriority w:val="99"/>
    <w:rsid w:val="00AF33B6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33B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33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pisi.porezna-uprava.hr/?id=b04d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pisi.porezna-uprava.hr/?id=b04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dcterms:created xsi:type="dcterms:W3CDTF">2020-09-24T17:30:00Z</dcterms:created>
  <dcterms:modified xsi:type="dcterms:W3CDTF">2021-10-14T10:15:00Z</dcterms:modified>
</cp:coreProperties>
</file>